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b/>
          <w:bCs/>
          <w:sz w:val="20"/>
          <w:szCs w:val="20"/>
        </w:rPr>
      </w:pPr>
      <w:r w:rsidRPr="00E635A2">
        <w:rPr>
          <w:rFonts w:hint="cs"/>
          <w:sz w:val="20"/>
          <w:szCs w:val="20"/>
          <w:rtl/>
        </w:rPr>
        <w:t xml:space="preserve">מספר פנימי: </w:t>
      </w:r>
      <w:bookmarkStart w:id="0" w:name="LGS_Internal_ID"/>
      <w:r>
        <w:rPr>
          <w:rFonts w:hint="cs"/>
          <w:sz w:val="20"/>
          <w:szCs w:val="20"/>
          <w:rtl/>
        </w:rPr>
        <w:t>2197310</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b/>
          <w:bCs/>
          <w:sz w:val="26"/>
          <w:szCs w:val="26"/>
          <w:rtl/>
        </w:rPr>
      </w:pPr>
    </w:p>
    <w:p w14:paraId="7F6961AA" w14:textId="0AE27899" w:rsidR="00E13C27" w:rsidRPr="00CF1AA2" w:rsidRDefault="008F6665" w:rsidP="001F476C">
      <w:pPr>
        <w:pStyle w:val="David"/>
        <w:spacing w:before="102"/>
        <w:ind w:left="3544"/>
        <w:rPr>
          <w:b/>
          <w:bCs/>
          <w:sz w:val="16"/>
          <w:szCs w:val="16"/>
          <w:rtl/>
        </w:rPr>
      </w:pPr>
      <w:bookmarkStart w:id="2" w:name="LGS_Initiators_List"/>
      <w:r>
        <w:rPr>
          <w:b/>
          <w:bCs/>
          <w:rtl/>
        </w:rPr>
        <w:t>יוזמים:      חברי הכנסת</w:t>
      </w:r>
      <w:bookmarkEnd w:id="2"/>
      <w:r w:rsidR="00B35784" w:rsidRPr="00F67051">
        <w:rPr>
          <w:b/>
          <w:bCs/>
        </w:rPr>
        <w:tab/>
      </w:r>
      <w:bookmarkStart w:id="3" w:name="LGS_PM_Names"/>
      <w:r>
        <w:rPr>
          <w:rFonts w:hint="cs"/>
          <w:b/>
          <w:bCs/>
          <w:rtl/>
        </w:rPr>
        <w:t>עאידה תומא סלימאן</w:t>
      </w:r>
      <w:r>
        <w:br/>
      </w:r>
      <w:r>
        <w:rPr>
          <w:rFonts w:hint="cs"/>
          <w:b/>
          <w:bCs/>
          <w:rtl/>
        </w:rPr>
        <w:t xml:space="preserve"> </w:t>
      </w:r>
      <w:r>
        <w:tab/>
      </w:r>
      <w:r>
        <w:tab/>
      </w:r>
      <w:r>
        <w:tab/>
      </w:r>
      <w:r>
        <w:tab/>
      </w:r>
      <w:r>
        <w:rPr>
          <w:rFonts w:hint="cs"/>
          <w:b/>
          <w:bCs/>
          <w:rtl/>
        </w:rPr>
        <w:t>יוסף עטאונה</w:t>
      </w:r>
      <w:r>
        <w:br/>
      </w:r>
      <w:r>
        <w:rPr>
          <w:rFonts w:hint="cs"/>
          <w:b/>
          <w:bCs/>
          <w:rtl/>
        </w:rPr>
        <w:t xml:space="preserve"> </w:t>
      </w:r>
      <w:r>
        <w:tab/>
      </w:r>
      <w:r>
        <w:tab/>
      </w:r>
      <w:r>
        <w:tab/>
      </w:r>
      <w:r>
        <w:tab/>
      </w:r>
      <w:r>
        <w:rPr>
          <w:rFonts w:hint="cs"/>
          <w:b/>
          <w:bCs/>
          <w:rtl/>
        </w:rPr>
        <w:t>עופר כסיף</w:t>
      </w:r>
      <w:r>
        <w:br/>
      </w:r>
      <w:r>
        <w:rPr>
          <w:rFonts w:hint="cs"/>
          <w:b/>
          <w:bCs/>
          <w:rtl/>
        </w:rPr>
        <w:t xml:space="preserve"> </w:t>
      </w:r>
      <w:r>
        <w:tab/>
      </w:r>
      <w:r>
        <w:tab/>
      </w:r>
      <w:r>
        <w:tab/>
      </w:r>
      <w:r>
        <w:tab/>
      </w:r>
      <w:r>
        <w:rPr>
          <w:rFonts w:hint="cs"/>
          <w:b/>
          <w:bCs/>
          <w:rtl/>
        </w:rPr>
        <w:t>איימן עודה</w:t>
      </w:r>
      <w:r>
        <w:br/>
      </w:r>
      <w:r>
        <w:rPr>
          <w:rFonts w:hint="cs"/>
          <w:b/>
          <w:bCs/>
          <w:rtl/>
        </w:rPr>
        <w:t xml:space="preserve"> </w:t>
      </w:r>
      <w:r>
        <w:tab/>
      </w:r>
      <w:r>
        <w:tab/>
      </w:r>
      <w:r>
        <w:tab/>
      </w:r>
      <w:r>
        <w:tab/>
      </w:r>
      <w:r>
        <w:rPr>
          <w:rFonts w:hint="cs"/>
          <w:b/>
          <w:bCs/>
          <w:rtl/>
        </w:rPr>
        <w:t>אחמד טיבי</w:t>
      </w:r>
      <w:bookmarkStart w:id="4" w:name="LGS_Join_List"/>
      <w:bookmarkEnd w:id="3"/>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55E23416" w:rsidR="00E13C27" w:rsidRPr="00E06736" w:rsidRDefault="001F476C" w:rsidP="00904591">
      <w:pPr>
        <w:pStyle w:val="David"/>
        <w:spacing w:line="240" w:lineRule="auto"/>
        <w:ind w:left="3544"/>
        <w:rPr>
          <w:rtl/>
        </w:rPr>
      </w:pPr>
      <w:r>
        <w:rPr>
          <w:rtl/>
        </w:rPr>
        <w:tab/>
      </w:r>
      <w:r>
        <w:rPr>
          <w:rFonts w:hint="cs"/>
          <w:rtl/>
        </w:rPr>
        <w:t xml:space="preserve">     </w:t>
      </w:r>
      <w:r w:rsidR="00904591">
        <w:t xml:space="preserve">                                            </w:t>
      </w:r>
      <w:r w:rsidR="008F1308">
        <w:t xml:space="preserve"> </w:t>
      </w:r>
      <w:bookmarkStart w:id="6" w:name="Private_Number"/>
      <w:r w:rsidR="00904591">
        <w:rPr>
          <w:rFonts w:hint="cs"/>
          <w:rtl/>
        </w:rPr>
        <w:t>פ/257/25</w:t>
      </w:r>
      <w:bookmarkEnd w:id="6"/>
    </w:p>
    <w:p w14:paraId="114C4762" w14:textId="171153C2" w:rsidR="00F050F3" w:rsidRDefault="00F050F3" w:rsidP="00F050F3">
      <w:pPr>
        <w:pStyle w:val="HeadHatzaotHok"/>
        <w:rPr>
          <w:rtl/>
        </w:rPr>
      </w:pPr>
      <w:r>
        <w:rPr>
          <w:rFonts w:hint="cs"/>
          <w:rtl/>
        </w:rPr>
        <w:t xml:space="preserve">הצעת חוק שירות ביטחון (תיקון </w:t>
      </w:r>
      <w:r>
        <w:rPr>
          <w:rFonts w:hint="eastAsia"/>
          <w:rtl/>
        </w:rPr>
        <w:t>–</w:t>
      </w:r>
      <w:r>
        <w:rPr>
          <w:rFonts w:hint="cs"/>
          <w:rtl/>
        </w:rPr>
        <w:t xml:space="preserve"> פטור מטעמי מצפון), התשפ"ג</w:t>
      </w:r>
      <w:r>
        <w:rPr>
          <w:rFonts w:hint="eastAsia"/>
        </w:rPr>
        <w:t>–</w:t>
      </w:r>
      <w:r>
        <w:rPr>
          <w:rFonts w:hint="cs"/>
          <w:rtl/>
        </w:rPr>
        <w:t>2022</w:t>
      </w:r>
    </w:p>
    <w:tbl>
      <w:tblPr>
        <w:bidiVisual/>
        <w:tblW w:w="9638"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1872"/>
        <w:gridCol w:w="624"/>
        <w:gridCol w:w="4647"/>
      </w:tblGrid>
      <w:tr w:rsidR="00F050F3" w14:paraId="64B1C6E4" w14:textId="77777777" w:rsidTr="001F476C">
        <w:trPr>
          <w:cantSplit/>
        </w:trPr>
        <w:tc>
          <w:tcPr>
            <w:tcW w:w="1871" w:type="dxa"/>
            <w:hideMark/>
          </w:tcPr>
          <w:p w14:paraId="365B3BB7" w14:textId="77777777" w:rsidR="00F050F3" w:rsidRDefault="00F050F3" w:rsidP="00F22D0D">
            <w:pPr>
              <w:pStyle w:val="TableSideHeading"/>
            </w:pPr>
            <w:r>
              <w:rPr>
                <w:rtl/>
              </w:rPr>
              <w:t>הוספת סעיף 39א</w:t>
            </w:r>
          </w:p>
        </w:tc>
        <w:tc>
          <w:tcPr>
            <w:tcW w:w="624" w:type="dxa"/>
            <w:hideMark/>
          </w:tcPr>
          <w:p w14:paraId="650EAF66" w14:textId="77777777" w:rsidR="00F050F3" w:rsidRDefault="00F050F3" w:rsidP="00F22D0D">
            <w:pPr>
              <w:pStyle w:val="TableText"/>
              <w:jc w:val="both"/>
              <w:rPr>
                <w:rtl/>
              </w:rPr>
            </w:pPr>
            <w:r>
              <w:rPr>
                <w:rtl/>
              </w:rPr>
              <w:t>1.</w:t>
            </w:r>
          </w:p>
        </w:tc>
        <w:tc>
          <w:tcPr>
            <w:tcW w:w="7143" w:type="dxa"/>
            <w:gridSpan w:val="3"/>
            <w:hideMark/>
          </w:tcPr>
          <w:p w14:paraId="7F6BC6AD" w14:textId="11557D4C" w:rsidR="00F050F3" w:rsidRDefault="00F050F3" w:rsidP="00A70842">
            <w:pPr>
              <w:pStyle w:val="TableBlock"/>
              <w:rPr>
                <w:rtl/>
              </w:rPr>
            </w:pPr>
            <w:r>
              <w:rPr>
                <w:rtl/>
              </w:rPr>
              <w:t>בחוק שירות ביטחון [נוסח משולב], התשמ"ו</w:t>
            </w:r>
            <w:r w:rsidR="00A70842">
              <w:rPr>
                <w:rFonts w:hint="cs"/>
                <w:rtl/>
              </w:rPr>
              <w:t>–</w:t>
            </w:r>
            <w:r>
              <w:rPr>
                <w:rtl/>
              </w:rPr>
              <w:t>1986</w:t>
            </w:r>
            <w:r w:rsidRPr="001F476C">
              <w:rPr>
                <w:rFonts w:ascii="David" w:hAnsi="David"/>
                <w:sz w:val="26"/>
                <w:vertAlign w:val="superscript"/>
                <w:rtl/>
              </w:rPr>
              <w:footnoteReference w:id="2"/>
            </w:r>
            <w:r>
              <w:rPr>
                <w:rtl/>
              </w:rPr>
              <w:t xml:space="preserve">, אחרי סעיף 39 יבוא: </w:t>
            </w:r>
          </w:p>
        </w:tc>
      </w:tr>
      <w:tr w:rsidR="00F050F3" w14:paraId="68EB98C7" w14:textId="77777777" w:rsidTr="001F476C">
        <w:trPr>
          <w:cantSplit/>
        </w:trPr>
        <w:tc>
          <w:tcPr>
            <w:tcW w:w="1871" w:type="dxa"/>
          </w:tcPr>
          <w:p w14:paraId="13281656" w14:textId="77777777" w:rsidR="00F050F3" w:rsidRDefault="00F050F3" w:rsidP="00F22D0D">
            <w:pPr>
              <w:pStyle w:val="TableSideHeading"/>
              <w:keepLines w:val="0"/>
              <w:rPr>
                <w:rtl/>
              </w:rPr>
            </w:pPr>
          </w:p>
        </w:tc>
        <w:tc>
          <w:tcPr>
            <w:tcW w:w="624" w:type="dxa"/>
          </w:tcPr>
          <w:p w14:paraId="03ED9E3D" w14:textId="77777777" w:rsidR="00F050F3" w:rsidRDefault="00F050F3" w:rsidP="00F22D0D">
            <w:pPr>
              <w:pStyle w:val="TableText"/>
              <w:keepLines w:val="0"/>
            </w:pPr>
          </w:p>
        </w:tc>
        <w:tc>
          <w:tcPr>
            <w:tcW w:w="1872" w:type="dxa"/>
            <w:hideMark/>
          </w:tcPr>
          <w:p w14:paraId="4DDC3817" w14:textId="77777777" w:rsidR="00F050F3" w:rsidRDefault="00F050F3" w:rsidP="00F22D0D">
            <w:pPr>
              <w:pStyle w:val="TableInnerSideHeading"/>
            </w:pPr>
            <w:r>
              <w:rPr>
                <w:rtl/>
              </w:rPr>
              <w:t>"פטור מטעמי מצפון</w:t>
            </w:r>
          </w:p>
        </w:tc>
        <w:tc>
          <w:tcPr>
            <w:tcW w:w="624" w:type="dxa"/>
            <w:hideMark/>
          </w:tcPr>
          <w:p w14:paraId="1460B176" w14:textId="77777777" w:rsidR="00F050F3" w:rsidRDefault="00F050F3" w:rsidP="00F22D0D">
            <w:pPr>
              <w:pStyle w:val="TableText"/>
              <w:rPr>
                <w:rtl/>
              </w:rPr>
            </w:pPr>
            <w:r>
              <w:rPr>
                <w:rtl/>
              </w:rPr>
              <w:t>39א.</w:t>
            </w:r>
          </w:p>
        </w:tc>
        <w:tc>
          <w:tcPr>
            <w:tcW w:w="4647" w:type="dxa"/>
            <w:hideMark/>
          </w:tcPr>
          <w:p w14:paraId="5C84ACF2" w14:textId="77777777" w:rsidR="00F050F3" w:rsidRDefault="00F050F3" w:rsidP="001F476C">
            <w:pPr>
              <w:pStyle w:val="TableBlock"/>
              <w:rPr>
                <w:rtl/>
              </w:rPr>
            </w:pPr>
            <w:r>
              <w:rPr>
                <w:rtl/>
              </w:rPr>
              <w:t>מיועד לשירות ביטחון שהצהיר בכתב לפי סעיף 15 לפקודת הראיות, בפני שופט, כי טעמים שבמצפון מונעים אותו מלשרת בשירות ביטחון, יהיה פטור משירות ביטחון לאחר שימסור את התצהיר, באופן ובמועד שיקבעו בתקנות, לפוקד שהוסמך לכך</w:t>
            </w:r>
            <w:r>
              <w:rPr>
                <w:rFonts w:hint="cs"/>
                <w:rtl/>
              </w:rPr>
              <w:t>.</w:t>
            </w:r>
            <w:r>
              <w:rPr>
                <w:rtl/>
              </w:rPr>
              <w:t>"</w:t>
            </w:r>
          </w:p>
        </w:tc>
      </w:tr>
    </w:tbl>
    <w:p w14:paraId="3150F478" w14:textId="77777777" w:rsidR="00F050F3" w:rsidRDefault="00F050F3" w:rsidP="00F050F3">
      <w:pPr>
        <w:pStyle w:val="HeadDivreiHesber"/>
        <w:rPr>
          <w:rtl/>
        </w:rPr>
      </w:pPr>
      <w:r w:rsidRPr="0027450A">
        <w:rPr>
          <w:rFonts w:hint="cs"/>
          <w:rtl/>
        </w:rPr>
        <w:t>דברי הסבר</w:t>
      </w:r>
    </w:p>
    <w:p w14:paraId="09BF61D6" w14:textId="77777777" w:rsidR="00F050F3" w:rsidRDefault="00F050F3" w:rsidP="00F050F3">
      <w:pPr>
        <w:pStyle w:val="Hesber"/>
      </w:pPr>
      <w:r>
        <w:rPr>
          <w:rFonts w:hint="cs"/>
          <w:rtl/>
        </w:rPr>
        <w:t>שני עקרונות יסוד מהווים את הבסיס הלגיטימי של המשטר הדמוקרטי-ליברלי, קיומו של פלורליזם ערכי ותרבותי בקרב ציבור האזרחים, ואופיה החוזי-וולונטרי של ההתקשרות שבין האזרחים והשלטונות. כל מערכת חוק אשר אינה נותנת ביטוי נאמן לעקרונות אלו מהווה פגיעה מוסרית באושיותיו של משטר זה.</w:t>
      </w:r>
    </w:p>
    <w:p w14:paraId="0E18F1BD" w14:textId="77777777" w:rsidR="00F050F3" w:rsidRDefault="00F050F3" w:rsidP="00F050F3">
      <w:pPr>
        <w:pStyle w:val="Hesber"/>
        <w:rPr>
          <w:rtl/>
        </w:rPr>
      </w:pPr>
      <w:r>
        <w:rPr>
          <w:rFonts w:hint="cs"/>
          <w:rtl/>
        </w:rPr>
        <w:t>על כן, מחייב השכל הישר את השלטונות שלא לכפות על אזרח כלשהו מעשה הנוגד את ערכיו הבסיסיים ביותר, כפייה שכזו מפרה את העיקרון החוזי-וולונטרי שבהתקשרות האזרח לשלטון והופכת התקשרות זו לשרירותית.</w:t>
      </w:r>
    </w:p>
    <w:p w14:paraId="6DFE8C77" w14:textId="77777777" w:rsidR="00F050F3" w:rsidRDefault="00F050F3" w:rsidP="00F050F3">
      <w:pPr>
        <w:pStyle w:val="Hesber"/>
        <w:rPr>
          <w:rtl/>
        </w:rPr>
      </w:pPr>
      <w:r>
        <w:rPr>
          <w:rFonts w:hint="cs"/>
          <w:rtl/>
        </w:rPr>
        <w:t xml:space="preserve">בנסיבותיה של מדינת ישראל, אשר הינה מדינה הטרוגנית באופן מיוחד הן מבחינת הרכבה האתני והדתי והן מבחינת המסורות התרבותית והפוליטיות המתקיימת בה, יש משנה חשיבות לקיומה של מערכת חוקתית המגנה על הפלורליזם הערכי ועל חופש המצפון והבחירה של כל אזרח. אחת הסוגיות המרכזיות בהקשר זה היא סוגיית השירות הצבאי אשר מהווה בעיה קשה עבור אזרחים רבים. הצעת </w:t>
      </w:r>
      <w:r>
        <w:rPr>
          <w:rFonts w:hint="cs"/>
          <w:rtl/>
        </w:rPr>
        <w:lastRenderedPageBreak/>
        <w:t>חוק זו באה לתת מענה לבעיה זו.</w:t>
      </w:r>
    </w:p>
    <w:p w14:paraId="595FA2E5" w14:textId="060A1C6F" w:rsidR="00F050F3" w:rsidRDefault="00F050F3" w:rsidP="00F050F3">
      <w:pPr>
        <w:pStyle w:val="Hesber"/>
        <w:rPr>
          <w:rtl/>
        </w:rPr>
      </w:pPr>
      <w:r>
        <w:rPr>
          <w:rFonts w:hint="cs"/>
          <w:rtl/>
        </w:rPr>
        <w:t>הצעות חוק דומות בעיקרן הונחו על שולחן הכנסת השש-עשרה על ידי חברי הכנסת זה</w:t>
      </w:r>
      <w:r w:rsidR="001A5AD2">
        <w:rPr>
          <w:rFonts w:hint="cs"/>
          <w:rtl/>
        </w:rPr>
        <w:t>בה גלאון ורומן ברונפמן (פ/1101)</w:t>
      </w:r>
      <w:r>
        <w:rPr>
          <w:rFonts w:hint="cs"/>
          <w:rtl/>
        </w:rPr>
        <w:t xml:space="preserve"> ועל שולחן הכנסת השבע-עשרה על ידי חברת הכנסת זהבה גלאון (פ/22/17).</w:t>
      </w:r>
    </w:p>
    <w:p w14:paraId="44F91A29" w14:textId="09585446" w:rsidR="00F050F3" w:rsidRDefault="00F050F3" w:rsidP="001A5AD2">
      <w:pPr>
        <w:pStyle w:val="Hesber"/>
        <w:rPr>
          <w:rtl/>
        </w:rPr>
      </w:pPr>
      <w:r>
        <w:rPr>
          <w:rFonts w:hint="cs"/>
          <w:rtl/>
        </w:rPr>
        <w:t xml:space="preserve">הצעות חוק זהות הונחו על שולחן הכנסת הארבע-עשרה על ידי חבר הכנסת אחמד סעד וקבוצת חברי הכנסת (פ/2028), על שולחן הכנסת החמש-עשרה על ידי חברי הכנסת אחמד טיבי ונעמי חזן (פ/295), על שולחן הכנסת השש-עשרה </w:t>
      </w:r>
      <w:r w:rsidR="001A5AD2">
        <w:rPr>
          <w:rFonts w:hint="cs"/>
          <w:rtl/>
        </w:rPr>
        <w:t>ו</w:t>
      </w:r>
      <w:r w:rsidR="001A5AD2">
        <w:rPr>
          <w:rFonts w:hint="cs"/>
          <w:rtl/>
        </w:rPr>
        <w:t xml:space="preserve">על שולחן הכנסת השבע-עשרה </w:t>
      </w:r>
      <w:r>
        <w:rPr>
          <w:rFonts w:hint="cs"/>
          <w:rtl/>
        </w:rPr>
        <w:t xml:space="preserve">על ידי חבר הכנסת מוחמד </w:t>
      </w:r>
      <w:r w:rsidR="001A5AD2">
        <w:rPr>
          <w:rFonts w:hint="cs"/>
          <w:rtl/>
        </w:rPr>
        <w:t>ברכה וקבוצת חברי הכנסת (פ/1155;</w:t>
      </w:r>
      <w:r>
        <w:rPr>
          <w:rFonts w:hint="cs"/>
          <w:rtl/>
        </w:rPr>
        <w:t xml:space="preserve"> פ/255/17), על שולחן הכנסת השמונה-עשרה על ידי חבר הכנסת מוחמד ברכה (פ/438/18), על שולחן הכנסת התשע-עשרה על ידי חבר הכנסת מוחמד ברכה וקבוצת חברי הכנסת (פ/1034/19), על שולחן הכנסת העשרים ושתיים </w:t>
      </w:r>
      <w:r w:rsidR="009710AE">
        <w:rPr>
          <w:rtl/>
        </w:rPr>
        <w:t>על ידי חברת הכנסת עאידה תומא</w:t>
      </w:r>
      <w:r w:rsidR="009710AE">
        <w:rPr>
          <w:rFonts w:hint="cs"/>
          <w:rtl/>
        </w:rPr>
        <w:t xml:space="preserve"> </w:t>
      </w:r>
      <w:r>
        <w:rPr>
          <w:rtl/>
        </w:rPr>
        <w:t>סלימאן וקבוצת חברי הכנסת (פ/1325/22</w:t>
      </w:r>
      <w:r>
        <w:rPr>
          <w:rFonts w:hint="cs"/>
          <w:rtl/>
        </w:rPr>
        <w:t>), על שולחן הכנסת העשרים ושלוש על ידי</w:t>
      </w:r>
      <w:r w:rsidRPr="005073F2">
        <w:rPr>
          <w:rtl/>
        </w:rPr>
        <w:t xml:space="preserve"> </w:t>
      </w:r>
      <w:r w:rsidR="009710AE">
        <w:rPr>
          <w:rtl/>
        </w:rPr>
        <w:t>חברת הכנסת עאידה תומא</w:t>
      </w:r>
      <w:r w:rsidR="009710AE">
        <w:rPr>
          <w:rFonts w:hint="cs"/>
          <w:rtl/>
        </w:rPr>
        <w:t xml:space="preserve"> </w:t>
      </w:r>
      <w:r>
        <w:rPr>
          <w:rtl/>
        </w:rPr>
        <w:t>סלימאן וקבוצת חברי הכנסת</w:t>
      </w:r>
      <w:r w:rsidRPr="005073F2">
        <w:rPr>
          <w:rtl/>
        </w:rPr>
        <w:t xml:space="preserve"> </w:t>
      </w:r>
      <w:r>
        <w:rPr>
          <w:rFonts w:hint="cs"/>
          <w:rtl/>
        </w:rPr>
        <w:t>(</w:t>
      </w:r>
      <w:r>
        <w:rPr>
          <w:rtl/>
        </w:rPr>
        <w:t>פ/1030/23)</w:t>
      </w:r>
      <w:r>
        <w:rPr>
          <w:rFonts w:hint="cs"/>
          <w:rtl/>
        </w:rPr>
        <w:t xml:space="preserve"> ועל ידי חבר הכנסת אחמד טיבי וקבוצת חברי הכנסת (</w:t>
      </w:r>
      <w:r w:rsidRPr="005073F2">
        <w:rPr>
          <w:rtl/>
        </w:rPr>
        <w:t>פ/1667/23</w:t>
      </w:r>
      <w:r w:rsidR="007C7797">
        <w:rPr>
          <w:rFonts w:hint="cs"/>
          <w:rtl/>
        </w:rPr>
        <w:t xml:space="preserve">), </w:t>
      </w:r>
      <w:r w:rsidRPr="000022B6">
        <w:rPr>
          <w:rtl/>
        </w:rPr>
        <w:t>על שולחן הכנסת העשרים וארבע על ידי חברי הכנסת אחמד טיבי ואוסאמה סעדי (פ/</w:t>
      </w:r>
      <w:r>
        <w:rPr>
          <w:rFonts w:hint="cs"/>
          <w:rtl/>
        </w:rPr>
        <w:t>678/24)</w:t>
      </w:r>
      <w:r w:rsidR="007C7797">
        <w:rPr>
          <w:rFonts w:hint="cs"/>
          <w:rtl/>
        </w:rPr>
        <w:t xml:space="preserve"> ו</w:t>
      </w:r>
      <w:r w:rsidR="009710AE">
        <w:rPr>
          <w:rFonts w:hint="cs"/>
          <w:rtl/>
        </w:rPr>
        <w:t xml:space="preserve">על ידי חברת הכנסת עאידה תומא </w:t>
      </w:r>
      <w:r w:rsidRPr="001F476C">
        <w:rPr>
          <w:rFonts w:hint="cs"/>
          <w:rtl/>
        </w:rPr>
        <w:t>סלימאן וקבוצת חברי הכנסת (פ/1707/24)</w:t>
      </w:r>
      <w:r w:rsidR="007C7797" w:rsidRPr="001F476C">
        <w:rPr>
          <w:rFonts w:hint="cs"/>
          <w:rtl/>
        </w:rPr>
        <w:t xml:space="preserve"> </w:t>
      </w:r>
      <w:r w:rsidR="001A5AD2">
        <w:rPr>
          <w:rFonts w:hint="cs"/>
          <w:rtl/>
        </w:rPr>
        <w:t>ו</w:t>
      </w:r>
      <w:bookmarkStart w:id="7" w:name="_GoBack"/>
      <w:bookmarkEnd w:id="7"/>
      <w:r w:rsidR="007C7797" w:rsidRPr="001F476C">
        <w:rPr>
          <w:rFonts w:hint="cs"/>
          <w:rtl/>
        </w:rPr>
        <w:t xml:space="preserve">על שולחן הכנסת העשרים וחמש </w:t>
      </w:r>
      <w:r w:rsidRPr="001F476C">
        <w:rPr>
          <w:rFonts w:hint="cs"/>
          <w:rtl/>
        </w:rPr>
        <w:t>על ידי חבר הכנסת אחמד טיבי (פ</w:t>
      </w:r>
      <w:r w:rsidR="001F476C" w:rsidRPr="001F476C">
        <w:rPr>
          <w:rFonts w:hint="cs"/>
          <w:rtl/>
        </w:rPr>
        <w:t>/254/24</w:t>
      </w:r>
      <w:r w:rsidR="001F476C">
        <w:rPr>
          <w:rFonts w:hint="cs"/>
          <w:rtl/>
        </w:rPr>
        <w:t>).</w:t>
      </w:r>
    </w:p>
    <w:p w14:paraId="236D711C" w14:textId="77777777" w:rsidR="00F050F3" w:rsidRDefault="00F050F3" w:rsidP="00F050F3">
      <w:pPr>
        <w:pStyle w:val="Hesber"/>
      </w:pPr>
      <w:r>
        <w:rPr>
          <w:rFonts w:hint="cs"/>
          <w:rtl/>
        </w:rPr>
        <w:t>הצעת החוק זהה ל</w:t>
      </w:r>
      <w:r w:rsidRPr="005073F2">
        <w:rPr>
          <w:rtl/>
        </w:rPr>
        <w:t>פ/</w:t>
      </w:r>
      <w:r>
        <w:rPr>
          <w:rFonts w:hint="cs"/>
          <w:rtl/>
        </w:rPr>
        <w:t>678/24 ולפיכך לא נבדקה מחדש על ידי הלשכה המשפטית של הכנסת.</w:t>
      </w:r>
    </w:p>
    <w:p w14:paraId="4EAD4B9E" w14:textId="77777777" w:rsidR="00F050F3" w:rsidRPr="00F050F3" w:rsidRDefault="00F050F3" w:rsidP="004D37B7">
      <w:pPr>
        <w:snapToGrid w:val="0"/>
        <w:rPr>
          <w:rFonts w:ascii="Arial" w:eastAsia="Arial Unicode MS" w:hAnsi="Arial"/>
          <w:snapToGrid w:val="0"/>
          <w:sz w:val="20"/>
          <w:szCs w:val="26"/>
          <w:rtl/>
        </w:rPr>
      </w:pPr>
    </w:p>
    <w:p w14:paraId="1206F9A9" w14:textId="77777777" w:rsidR="00C369FA" w:rsidRDefault="00A70842">
      <w:pPr>
        <w:jc w:val="left"/>
      </w:pPr>
      <w:bookmarkStart w:id="8" w:name="selectedDocDateB"/>
      <w:bookmarkEnd w:id="8"/>
      <w:r>
        <w:rPr>
          <w:rFonts w:eastAsia="David" w:hint="cs"/>
          <w:sz w:val="26"/>
          <w:szCs w:val="26"/>
          <w:rtl/>
        </w:rPr>
        <w:t>--------------------------------</w:t>
      </w:r>
    </w:p>
    <w:p w14:paraId="30A480D1" w14:textId="77777777" w:rsidR="00C369FA" w:rsidRDefault="00A70842">
      <w:pPr>
        <w:jc w:val="left"/>
      </w:pPr>
      <w:r>
        <w:rPr>
          <w:rFonts w:eastAsia="David" w:hint="cs"/>
          <w:sz w:val="26"/>
          <w:szCs w:val="26"/>
          <w:rtl/>
        </w:rPr>
        <w:t>הוגשה ליו"ר הכנסת והסגנים</w:t>
      </w:r>
    </w:p>
    <w:p w14:paraId="31EEA326" w14:textId="77777777" w:rsidR="00C369FA" w:rsidRDefault="00A70842">
      <w:pPr>
        <w:jc w:val="left"/>
      </w:pPr>
      <w:r>
        <w:rPr>
          <w:rFonts w:eastAsia="David" w:hint="cs"/>
          <w:sz w:val="26"/>
          <w:szCs w:val="26"/>
          <w:rtl/>
        </w:rPr>
        <w:t>והונחה על שולחן הכנסת ביום</w:t>
      </w:r>
    </w:p>
    <w:p w14:paraId="2AF5BEC0" w14:textId="77777777" w:rsidR="00C369FA" w:rsidRDefault="00A70842">
      <w:pPr>
        <w:jc w:val="left"/>
      </w:pPr>
      <w:r>
        <w:rPr>
          <w:rFonts w:eastAsia="David" w:hint="cs"/>
          <w:sz w:val="26"/>
          <w:szCs w:val="26"/>
          <w:rtl/>
        </w:rPr>
        <w:t xml:space="preserve">כ"ה בכסלו התשפ"ג (19.12.2022) </w:t>
      </w:r>
    </w:p>
    <w:p w14:paraId="6B0AA273" w14:textId="77777777" w:rsidR="00C369FA" w:rsidRDefault="00C369FA">
      <w:pPr>
        <w:spacing w:line="276" w:lineRule="auto"/>
        <w:jc w:val="left"/>
      </w:pPr>
    </w:p>
    <w:sectPr w:rsidR="00C369FA" w:rsidSect="001F476C">
      <w:footerReference w:type="even" r:id="rId11"/>
      <w:footerReference w:type="default" r:id="rId12"/>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4D30DA0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1A5AD2">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sidP="001F476C">
      <w:pPr>
        <w:ind w:left="0"/>
      </w:pPr>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38990D53" w14:textId="6C153105" w:rsidR="00F050F3" w:rsidRDefault="00F050F3" w:rsidP="00F050F3">
      <w:pPr>
        <w:pStyle w:val="a4"/>
        <w:rPr>
          <w:rtl/>
        </w:rPr>
      </w:pPr>
      <w:r>
        <w:rPr>
          <w:rStyle w:val="a6"/>
        </w:rPr>
        <w:footnoteRef/>
      </w:r>
      <w:r>
        <w:t xml:space="preserve"> </w:t>
      </w:r>
      <w:r w:rsidR="001A5AD2">
        <w:rPr>
          <w:rFonts w:hint="cs"/>
          <w:rtl/>
        </w:rPr>
        <w:t xml:space="preserve"> </w:t>
      </w:r>
      <w:r>
        <w:rPr>
          <w:rtl/>
        </w:rPr>
        <w:t>ס"ח התשמ"ו, עמ' 107.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1"/>
  </w:num>
  <w:num w:numId="14">
    <w:abstractNumId w:val="16"/>
  </w:num>
  <w:num w:numId="15">
    <w:abstractNumId w:val="13"/>
  </w:num>
  <w:num w:numId="16">
    <w:abstractNumId w:val="13"/>
    <w:lvlOverride w:ilvl="0">
      <w:startOverride w:val="1"/>
    </w:lvlOverride>
  </w:num>
  <w:num w:numId="17">
    <w:abstractNumId w:val="1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A5AD2"/>
    <w:rsid w:val="001C23B0"/>
    <w:rsid w:val="001D7AAF"/>
    <w:rsid w:val="001F476C"/>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7B7"/>
    <w:rsid w:val="004D3876"/>
    <w:rsid w:val="004E4552"/>
    <w:rsid w:val="004E6CDF"/>
    <w:rsid w:val="00553C9D"/>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C7797"/>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710AE"/>
    <w:rsid w:val="00982412"/>
    <w:rsid w:val="00983A8D"/>
    <w:rsid w:val="009A0DB8"/>
    <w:rsid w:val="009A7257"/>
    <w:rsid w:val="009D6E0A"/>
    <w:rsid w:val="009E1E33"/>
    <w:rsid w:val="00A14672"/>
    <w:rsid w:val="00A26BD6"/>
    <w:rsid w:val="00A443CF"/>
    <w:rsid w:val="00A6611D"/>
    <w:rsid w:val="00A70842"/>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369FA"/>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050F3"/>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B30495E5-E36C-4F99-A84A-F60D774BA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476C"/>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1F476C"/>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1F476C"/>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1F476C"/>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1F476C"/>
    <w:pPr>
      <w:numPr>
        <w:numId w:val="18"/>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1F476C"/>
    <w:pPr>
      <w:spacing w:line="259" w:lineRule="auto"/>
      <w:outlineLvl w:val="4"/>
    </w:pPr>
    <w:rPr>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1F476C"/>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1F476C"/>
    <w:rPr>
      <w:sz w:val="36"/>
      <w:szCs w:val="52"/>
    </w:rPr>
  </w:style>
  <w:style w:type="paragraph" w:customStyle="1" w:styleId="Cover3-Haknesset">
    <w:name w:val="Cover 3-Haknesset"/>
    <w:basedOn w:val="Cover1-Reshumot"/>
    <w:rsid w:val="001F476C"/>
    <w:rPr>
      <w:b/>
      <w:bCs/>
      <w:spacing w:val="60"/>
    </w:rPr>
  </w:style>
  <w:style w:type="paragraph" w:customStyle="1" w:styleId="Cover4-Date">
    <w:name w:val="Cover 4-Date"/>
    <w:basedOn w:val="a"/>
    <w:rsid w:val="001F476C"/>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1F476C"/>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1F476C"/>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1F476C"/>
    <w:pPr>
      <w:spacing w:before="120" w:after="120"/>
    </w:pPr>
    <w:rPr>
      <w:color w:val="FF0000"/>
      <w:w w:val="80"/>
    </w:rPr>
  </w:style>
  <w:style w:type="paragraph" w:styleId="a3">
    <w:name w:val="endnote text"/>
    <w:basedOn w:val="a"/>
    <w:semiHidden/>
    <w:rsid w:val="001F476C"/>
    <w:pPr>
      <w:ind w:left="227" w:hanging="227"/>
    </w:pPr>
    <w:rPr>
      <w:sz w:val="14"/>
      <w:szCs w:val="22"/>
    </w:rPr>
  </w:style>
  <w:style w:type="paragraph" w:customStyle="1" w:styleId="TableText">
    <w:name w:val="Table Text"/>
    <w:basedOn w:val="a"/>
    <w:rsid w:val="001F476C"/>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1F476C"/>
    <w:pPr>
      <w:outlineLvl w:val="2"/>
    </w:pPr>
  </w:style>
  <w:style w:type="paragraph" w:customStyle="1" w:styleId="TableBlock">
    <w:name w:val="Table Block"/>
    <w:basedOn w:val="TableText"/>
    <w:rsid w:val="001F476C"/>
    <w:pPr>
      <w:jc w:val="both"/>
    </w:pPr>
  </w:style>
  <w:style w:type="paragraph" w:customStyle="1" w:styleId="TableHead">
    <w:name w:val="Table Head"/>
    <w:basedOn w:val="TableText"/>
    <w:rsid w:val="001F476C"/>
    <w:pPr>
      <w:jc w:val="center"/>
      <w:outlineLvl w:val="1"/>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1F476C"/>
    <w:pPr>
      <w:outlineLvl w:val="9"/>
    </w:pPr>
  </w:style>
  <w:style w:type="paragraph" w:customStyle="1" w:styleId="Hesber">
    <w:name w:val="Hesber"/>
    <w:basedOn w:val="a"/>
    <w:rsid w:val="001F476C"/>
    <w:pPr>
      <w:snapToGrid w:val="0"/>
      <w:ind w:left="0" w:firstLine="340"/>
    </w:pPr>
    <w:rPr>
      <w:rFonts w:ascii="Arial" w:eastAsia="Arial Unicode MS" w:hAnsi="Arial"/>
      <w:snapToGrid w:val="0"/>
      <w:sz w:val="20"/>
      <w:szCs w:val="26"/>
    </w:rPr>
  </w:style>
  <w:style w:type="paragraph" w:styleId="a4">
    <w:name w:val="footnote text"/>
    <w:basedOn w:val="a"/>
    <w:link w:val="a5"/>
    <w:autoRedefine/>
    <w:semiHidden/>
    <w:rsid w:val="001F476C"/>
    <w:pPr>
      <w:snapToGrid w:val="0"/>
      <w:spacing w:line="240" w:lineRule="auto"/>
      <w:ind w:left="0"/>
      <w:jc w:val="left"/>
    </w:pPr>
    <w:rPr>
      <w:rFonts w:ascii="Arial" w:eastAsia="Arial Unicode MS" w:hAnsi="Arial"/>
      <w:snapToGrid w:val="0"/>
      <w:sz w:val="14"/>
      <w:szCs w:val="20"/>
    </w:rPr>
  </w:style>
  <w:style w:type="character" w:styleId="a6">
    <w:name w:val="footnote reference"/>
    <w:aliases w:val="Footnote Reference"/>
    <w:basedOn w:val="a0"/>
    <w:semiHidden/>
    <w:rsid w:val="001F476C"/>
    <w:rPr>
      <w:vertAlign w:val="superscript"/>
    </w:rPr>
  </w:style>
  <w:style w:type="paragraph" w:customStyle="1" w:styleId="HesberHeading">
    <w:name w:val="Hesber Heading"/>
    <w:basedOn w:val="Hesber"/>
    <w:rsid w:val="001F476C"/>
    <w:pPr>
      <w:tabs>
        <w:tab w:val="left" w:pos="624"/>
        <w:tab w:val="left" w:pos="1247"/>
      </w:tabs>
    </w:pPr>
    <w:rPr>
      <w:b/>
      <w:bCs/>
    </w:rPr>
  </w:style>
  <w:style w:type="paragraph" w:customStyle="1" w:styleId="HesberWriters">
    <w:name w:val="Hesber Writers"/>
    <w:basedOn w:val="Hesber"/>
    <w:rsid w:val="001F476C"/>
    <w:pPr>
      <w:spacing w:before="120" w:after="120"/>
      <w:ind w:left="1418"/>
      <w:jc w:val="right"/>
    </w:pPr>
    <w:rPr>
      <w:b/>
      <w:bCs/>
    </w:rPr>
  </w:style>
  <w:style w:type="paragraph" w:customStyle="1" w:styleId="Hesber1st">
    <w:name w:val="Hesber 1st"/>
    <w:basedOn w:val="Hesber"/>
    <w:rsid w:val="001F476C"/>
    <w:pPr>
      <w:tabs>
        <w:tab w:val="left" w:pos="680"/>
        <w:tab w:val="left" w:pos="1020"/>
      </w:tabs>
      <w:ind w:firstLine="0"/>
    </w:pPr>
  </w:style>
  <w:style w:type="character" w:styleId="a7">
    <w:name w:val="endnote reference"/>
    <w:basedOn w:val="a0"/>
    <w:semiHidden/>
    <w:rsid w:val="001F476C"/>
    <w:rPr>
      <w:vertAlign w:val="superscript"/>
    </w:rPr>
  </w:style>
  <w:style w:type="paragraph" w:customStyle="1" w:styleId="TableBlockOutdent">
    <w:name w:val="Table BlockOutdent"/>
    <w:basedOn w:val="TableBlock"/>
    <w:rsid w:val="001F476C"/>
    <w:pPr>
      <w:ind w:left="624" w:hanging="624"/>
    </w:pPr>
  </w:style>
  <w:style w:type="paragraph" w:styleId="a8">
    <w:name w:val="header"/>
    <w:basedOn w:val="a"/>
    <w:rsid w:val="001F476C"/>
    <w:pPr>
      <w:tabs>
        <w:tab w:val="center" w:pos="4153"/>
        <w:tab w:val="right" w:pos="8306"/>
      </w:tabs>
    </w:pPr>
  </w:style>
  <w:style w:type="paragraph" w:styleId="a9">
    <w:name w:val="footer"/>
    <w:basedOn w:val="a"/>
    <w:rsid w:val="001F476C"/>
    <w:pPr>
      <w:tabs>
        <w:tab w:val="center" w:pos="4153"/>
        <w:tab w:val="right" w:pos="8306"/>
      </w:tabs>
    </w:pPr>
  </w:style>
  <w:style w:type="paragraph" w:customStyle="1" w:styleId="HeadDivreiHesber">
    <w:name w:val="Head DivreiHesber"/>
    <w:basedOn w:val="a"/>
    <w:rsid w:val="001F476C"/>
    <w:pPr>
      <w:snapToGrid w:val="0"/>
      <w:spacing w:before="360" w:after="120"/>
      <w:jc w:val="center"/>
      <w:outlineLvl w:val="1"/>
    </w:pPr>
    <w:rPr>
      <w:rFonts w:ascii="Arial" w:eastAsia="Arial Unicode MS" w:hAnsi="Arial"/>
      <w:b/>
      <w:snapToGrid w:val="0"/>
      <w:spacing w:val="40"/>
      <w:sz w:val="20"/>
      <w:szCs w:val="26"/>
    </w:rPr>
  </w:style>
  <w:style w:type="paragraph" w:customStyle="1" w:styleId="Ragil">
    <w:name w:val="Ragil"/>
    <w:basedOn w:val="a"/>
    <w:rsid w:val="001F476C"/>
    <w:pPr>
      <w:snapToGrid w:val="0"/>
      <w:jc w:val="left"/>
    </w:pPr>
    <w:rPr>
      <w:rFonts w:ascii="Arial" w:eastAsia="Arial Unicode MS" w:hAnsi="Arial"/>
      <w:snapToGrid w:val="0"/>
      <w:sz w:val="20"/>
      <w:szCs w:val="26"/>
    </w:rPr>
  </w:style>
  <w:style w:type="paragraph" w:styleId="aa">
    <w:name w:val="Title"/>
    <w:basedOn w:val="a"/>
    <w:qFormat/>
    <w:rsid w:val="00943386"/>
    <w:pPr>
      <w:jc w:val="center"/>
    </w:pPr>
    <w:rPr>
      <w:b/>
      <w:bCs/>
      <w:sz w:val="28"/>
      <w:szCs w:val="28"/>
      <w:u w:val="single"/>
    </w:rPr>
  </w:style>
  <w:style w:type="character" w:styleId="ab">
    <w:name w:val="page number"/>
    <w:basedOn w:val="a0"/>
    <w:rsid w:val="001F476C"/>
  </w:style>
  <w:style w:type="paragraph" w:customStyle="1" w:styleId="David">
    <w:name w:val="רגיל + (עברית ושפות אחרות) David"/>
    <w:aliases w:val="‏13 נק',מודגש,אחרי:  6 נק'"/>
    <w:basedOn w:val="a"/>
    <w:rsid w:val="001207F8"/>
    <w:pPr>
      <w:jc w:val="left"/>
    </w:pPr>
    <w:rPr>
      <w:sz w:val="26"/>
      <w:szCs w:val="26"/>
    </w:rPr>
  </w:style>
  <w:style w:type="paragraph" w:styleId="ac">
    <w:name w:val="Balloon Text"/>
    <w:basedOn w:val="a"/>
    <w:link w:val="ad"/>
    <w:semiHidden/>
    <w:unhideWhenUsed/>
    <w:rsid w:val="00325C14"/>
    <w:pPr>
      <w:spacing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rsid w:val="00F050F3"/>
    <w:rPr>
      <w:rFonts w:ascii="Arial" w:eastAsia="Arial Unicode MS" w:hAnsi="Arial" w:cs="David"/>
      <w:snapToGrid w:val="0"/>
      <w:sz w:val="14"/>
    </w:rPr>
  </w:style>
  <w:style w:type="character" w:customStyle="1" w:styleId="10">
    <w:name w:val="כותרת 1 תו"/>
    <w:basedOn w:val="a0"/>
    <w:link w:val="1"/>
    <w:uiPriority w:val="9"/>
    <w:rsid w:val="001F476C"/>
    <w:rPr>
      <w:rFonts w:asciiTheme="majorHAnsi" w:eastAsiaTheme="majorEastAsia" w:hAnsiTheme="majorHAnsi" w:cs="David"/>
      <w:bCs/>
      <w:sz w:val="32"/>
      <w:szCs w:val="36"/>
    </w:rPr>
  </w:style>
  <w:style w:type="character" w:customStyle="1" w:styleId="20">
    <w:name w:val="כותרת 2 תו"/>
    <w:basedOn w:val="a0"/>
    <w:link w:val="2"/>
    <w:rsid w:val="001F476C"/>
    <w:rPr>
      <w:rFonts w:asciiTheme="majorHAnsi" w:eastAsiaTheme="majorEastAsia" w:hAnsiTheme="majorHAnsi" w:cs="David"/>
      <w:bCs/>
      <w:sz w:val="26"/>
      <w:szCs w:val="36"/>
      <w:u w:val="single"/>
    </w:rPr>
  </w:style>
  <w:style w:type="character" w:customStyle="1" w:styleId="30">
    <w:name w:val="כותרת 3 תו"/>
    <w:basedOn w:val="a0"/>
    <w:link w:val="3"/>
    <w:rsid w:val="001F476C"/>
    <w:rPr>
      <w:rFonts w:asciiTheme="majorHAnsi" w:eastAsiaTheme="majorEastAsia" w:hAnsiTheme="majorHAnsi" w:cs="David"/>
      <w:sz w:val="24"/>
      <w:szCs w:val="28"/>
      <w:u w:val="double"/>
    </w:rPr>
  </w:style>
  <w:style w:type="character" w:customStyle="1" w:styleId="40">
    <w:name w:val="כותרת 4 תו"/>
    <w:basedOn w:val="a0"/>
    <w:link w:val="4"/>
    <w:uiPriority w:val="9"/>
    <w:rsid w:val="001F476C"/>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1F476C"/>
    <w:rPr>
      <w:rFonts w:ascii="David" w:eastAsiaTheme="minorHAnsi" w:hAnsi="David" w:cs="David"/>
      <w:color w:val="000000" w:themeColor="text1"/>
      <w:sz w:val="24"/>
      <w:szCs w:val="24"/>
    </w:rPr>
  </w:style>
  <w:style w:type="paragraph" w:styleId="ae">
    <w:name w:val="TOC Heading"/>
    <w:basedOn w:val="1"/>
    <w:next w:val="a"/>
    <w:uiPriority w:val="39"/>
    <w:unhideWhenUsed/>
    <w:qFormat/>
    <w:rsid w:val="001F476C"/>
    <w:pPr>
      <w:widowControl/>
      <w:spacing w:before="120" w:after="120"/>
      <w:outlineLvl w:val="9"/>
    </w:pPr>
    <w:rPr>
      <w:rtl/>
      <w:cs/>
    </w:rPr>
  </w:style>
  <w:style w:type="paragraph" w:styleId="TOC1">
    <w:name w:val="toc 1"/>
    <w:basedOn w:val="a"/>
    <w:next w:val="a"/>
    <w:autoRedefine/>
    <w:uiPriority w:val="39"/>
    <w:unhideWhenUsed/>
    <w:rsid w:val="001F476C"/>
    <w:pPr>
      <w:tabs>
        <w:tab w:val="right" w:leader="dot" w:pos="9629"/>
      </w:tabs>
      <w:spacing w:after="100"/>
    </w:pPr>
    <w:rPr>
      <w:bCs/>
      <w:szCs w:val="22"/>
    </w:rPr>
  </w:style>
  <w:style w:type="paragraph" w:styleId="TOC2">
    <w:name w:val="toc 2"/>
    <w:basedOn w:val="a"/>
    <w:next w:val="a"/>
    <w:uiPriority w:val="39"/>
    <w:unhideWhenUsed/>
    <w:rsid w:val="001F476C"/>
    <w:pPr>
      <w:tabs>
        <w:tab w:val="right" w:leader="dot" w:pos="9628"/>
      </w:tabs>
      <w:spacing w:after="100"/>
    </w:pPr>
    <w:rPr>
      <w:szCs w:val="22"/>
    </w:rPr>
  </w:style>
  <w:style w:type="character" w:styleId="Hyperlink">
    <w:name w:val="Hyperlink"/>
    <w:basedOn w:val="a0"/>
    <w:uiPriority w:val="99"/>
    <w:unhideWhenUsed/>
    <w:rsid w:val="001F476C"/>
    <w:rPr>
      <w:color w:val="0000FF" w:themeColor="hyperlink"/>
      <w:u w:val="single"/>
    </w:rPr>
  </w:style>
  <w:style w:type="paragraph" w:styleId="TOC3">
    <w:name w:val="toc 3"/>
    <w:basedOn w:val="a"/>
    <w:next w:val="a"/>
    <w:uiPriority w:val="39"/>
    <w:unhideWhenUsed/>
    <w:rsid w:val="001F476C"/>
    <w:pPr>
      <w:numPr>
        <w:numId w:val="21"/>
      </w:numPr>
      <w:tabs>
        <w:tab w:val="right" w:leader="dot" w:pos="9629"/>
      </w:tabs>
      <w:spacing w:after="100"/>
      <w:ind w:left="811" w:hanging="357"/>
    </w:pPr>
    <w:rPr>
      <w:szCs w:val="22"/>
    </w:rPr>
  </w:style>
  <w:style w:type="paragraph" w:styleId="TOC4">
    <w:name w:val="toc 4"/>
    <w:basedOn w:val="a"/>
    <w:next w:val="a"/>
    <w:autoRedefine/>
    <w:unhideWhenUsed/>
    <w:qFormat/>
    <w:rsid w:val="001F476C"/>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1F476C"/>
    <w:pPr>
      <w:tabs>
        <w:tab w:val="right" w:leader="dot" w:pos="9628"/>
      </w:tabs>
      <w:spacing w:after="100"/>
      <w:ind w:left="567"/>
    </w:pPr>
    <w:rPr>
      <w:szCs w:val="22"/>
    </w:rPr>
  </w:style>
  <w:style w:type="paragraph" w:styleId="TOC6">
    <w:name w:val="toc 6"/>
    <w:basedOn w:val="a"/>
    <w:next w:val="a"/>
    <w:autoRedefine/>
    <w:semiHidden/>
    <w:unhideWhenUsed/>
    <w:rsid w:val="001F476C"/>
    <w:pPr>
      <w:spacing w:after="100"/>
      <w:ind w:left="850"/>
    </w:pPr>
  </w:style>
  <w:style w:type="paragraph" w:styleId="TOC7">
    <w:name w:val="toc 7"/>
    <w:basedOn w:val="a"/>
    <w:next w:val="a"/>
    <w:autoRedefine/>
    <w:semiHidden/>
    <w:unhideWhenUsed/>
    <w:rsid w:val="001F476C"/>
    <w:pPr>
      <w:spacing w:after="100"/>
      <w:ind w:left="1020"/>
    </w:pPr>
  </w:style>
  <w:style w:type="paragraph" w:styleId="TOC8">
    <w:name w:val="toc 8"/>
    <w:basedOn w:val="a"/>
    <w:next w:val="a"/>
    <w:autoRedefine/>
    <w:semiHidden/>
    <w:unhideWhenUsed/>
    <w:rsid w:val="001F476C"/>
    <w:pPr>
      <w:spacing w:after="100"/>
      <w:ind w:left="1190"/>
    </w:pPr>
  </w:style>
  <w:style w:type="paragraph" w:styleId="TOC9">
    <w:name w:val="toc 9"/>
    <w:basedOn w:val="a"/>
    <w:next w:val="a"/>
    <w:autoRedefine/>
    <w:semiHidden/>
    <w:unhideWhenUsed/>
    <w:rsid w:val="001F476C"/>
    <w:pPr>
      <w:spacing w:after="100"/>
      <w:ind w:left="1360"/>
    </w:pPr>
  </w:style>
  <w:style w:type="paragraph" w:customStyle="1" w:styleId="TableHead2">
    <w:name w:val="Table Head2"/>
    <w:basedOn w:val="TableHead"/>
    <w:qFormat/>
    <w:rsid w:val="001F476C"/>
    <w:pPr>
      <w:outlineLvl w:val="9"/>
    </w:pPr>
  </w:style>
  <w:style w:type="paragraph" w:customStyle="1" w:styleId="TableSideHeading2">
    <w:name w:val="Table SideHeading2"/>
    <w:basedOn w:val="TableSideHeading"/>
    <w:autoRedefine/>
    <w:qFormat/>
    <w:rsid w:val="001F476C"/>
    <w:pPr>
      <w:keepLines w:val="0"/>
      <w:outlineLvl w:val="9"/>
    </w:pPr>
  </w:style>
  <w:style w:type="paragraph" w:customStyle="1" w:styleId="0">
    <w:name w:val="סגנון שורה ראשונה:  0  ס''מ"/>
    <w:basedOn w:val="2"/>
    <w:rsid w:val="001F476C"/>
    <w:rPr>
      <w:rFonts w:eastAsia="Times New Roman"/>
    </w:rPr>
  </w:style>
  <w:style w:type="paragraph" w:styleId="af">
    <w:name w:val="List Paragraph"/>
    <w:basedOn w:val="a"/>
    <w:uiPriority w:val="34"/>
    <w:qFormat/>
    <w:rsid w:val="001F476C"/>
    <w:pPr>
      <w:widowControl/>
      <w:spacing w:line="259" w:lineRule="auto"/>
    </w:pPr>
    <w:rPr>
      <w:rFonts w:asciiTheme="minorHAnsi" w:hAnsiTheme="minorHAnsi"/>
      <w:sz w:val="22"/>
    </w:rPr>
  </w:style>
  <w:style w:type="table" w:styleId="af0">
    <w:name w:val="Table Grid"/>
    <w:basedOn w:val="a1"/>
    <w:rsid w:val="001F47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1F47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1F476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1">
    <w:name w:val="טבלת חקיקה"/>
    <w:basedOn w:val="a1"/>
    <w:uiPriority w:val="99"/>
    <w:rsid w:val="001F476C"/>
    <w:pPr>
      <w:jc w:val="center"/>
    </w:pPr>
    <w:rPr>
      <w:rFonts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1F476C"/>
    <w:tblPr/>
    <w:tblStylePr w:type="firstCol">
      <w:pPr>
        <w:keepNext w:val="0"/>
        <w:keepLines/>
        <w:pageBreakBefore w:val="0"/>
        <w:widowControl w:val="0"/>
        <w:suppressLineNumbers w:val="0"/>
        <w:suppressAutoHyphens w:val="0"/>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4AFE3-9455-419C-8851-785A55F44517}">
  <ds:schemaRefs>
    <ds:schemaRef ds:uri="290d5b49-c690-4c6f-bbb9-1e50dab33eee"/>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3.xml><?xml version="1.0" encoding="utf-8"?>
<ds:datastoreItem xmlns:ds="http://schemas.openxmlformats.org/officeDocument/2006/customXml" ds:itemID="{3AE9D11C-8CAD-4AF3-A7C0-EFE600F9E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1822A5-B318-474F-AB3A-15ECD9D1C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412</Words>
  <Characters>2349</Characters>
  <Application>Microsoft Office Word</Application>
  <DocSecurity>0</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2756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טליה ווייס עמר</cp:lastModifiedBy>
  <cp:revision>10</cp:revision>
  <cp:lastPrinted>2022-12-12T12:13:00Z</cp:lastPrinted>
  <dcterms:created xsi:type="dcterms:W3CDTF">2015-04-20T09:58:00Z</dcterms:created>
  <dcterms:modified xsi:type="dcterms:W3CDTF">2022-12-13T13:12:00Z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2197310</vt:r8>
  </property>
</Properties>
</file>